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E9EDC" w14:textId="77777777" w:rsidR="004039EC" w:rsidRPr="004039EC" w:rsidRDefault="004039EC">
      <w:pPr>
        <w:rPr>
          <w:b/>
          <w:bCs/>
        </w:rPr>
      </w:pPr>
      <w:r w:rsidRPr="004039EC">
        <w:rPr>
          <w:b/>
          <w:bCs/>
        </w:rPr>
        <w:t>La Deslealtad de Ricardo Fernández Tamarit</w:t>
      </w:r>
    </w:p>
    <w:p w14:paraId="6A1E7770" w14:textId="5E811538" w:rsidR="00940169" w:rsidRDefault="00DD772D">
      <w:r w:rsidRPr="00DD772D">
        <w:t>Dice el teniente coronel Fernández Tamarit acerca de esta práctica viciosa —folio 1.204 —: “Tal vez pueda tener influencia en el estado de las fuerzas el sistema que se seguía para el mando. En un regimiento, por ejemplo, un par de batallones estaban repartidos en destacamentos de compañía y de sección; el otro, en columna; los coroneles permanecían en la plaza; cuando se iba a efectuar alguna operación subían a tomar el mando de sus columnas, y terminada la operación regresaban a la plaza. Los tenientes coroneles y comandantes alternaban cada diez o quince días en el mando de las fuerzas de la columna, a veces sin llevar segundo jefe, con lo que los capitanes y oficiales de la columna o posición pedían y obtenían permisos, que daba lugar a que de ordinario hubiera dos subalternos o un capitán y un subalterno por compañía de la columna o posición destacada, con perjuicio evidente de la instrucción y espíritu. El declarante hizo cuanto pudo, al ser destinado al tercer batallón , para permanecer siempre con él, en el campo, con su segundo jefe, y no pudo lograrlo oficialmente, porque a ello se opuso el Comandante general; pero particularmente logró estar el mayor tiempo posible, y desde luego, en las ocasiones en que por ausencia de su coronel ha interinado el mando del regimiento, lo ha hecho siempre desde el campo, por creer que así convenía al servicio y al espíritu de las tropas, ya que el ejemplo es el principal instrumento del Mando. Lo propio ocurría con las demás Armas y Cuerpos; las baterías de posición tenían un solo oficial, y en Tasarut-</w:t>
      </w:r>
      <w:proofErr w:type="spellStart"/>
      <w:r w:rsidRPr="00DD772D">
        <w:t>Ussai</w:t>
      </w:r>
      <w:proofErr w:type="spellEnd"/>
      <w:r w:rsidRPr="00DD772D">
        <w:t xml:space="preserve"> hubo a veces un sargento; los jefes de Estado Mayor de las columnas se nombraban las vísperas de salir éstas, y era dificilísimo que en dos operaciones distintas fuera con la misma columna el mismo jefe.”</w:t>
      </w:r>
    </w:p>
    <w:p w14:paraId="54D453C5" w14:textId="77777777" w:rsidR="00DD772D" w:rsidRDefault="00DD772D"/>
    <w:p w14:paraId="0D82CADA" w14:textId="4729DFAF" w:rsidR="00DD772D" w:rsidRDefault="00DD772D">
      <w:r w:rsidRPr="00DD772D">
        <w:t>Por otra parte, como testimonia el teniente coronel de infantería Ricardo Fernández Tamarit en su declaración ante el general Picasso, la pobreza de medios era grande en Annual. No había hospital de campaña, sino dos llamadas tiendas-tortuga con capacidad, cada una, para veinte hombres. Muchos días faltaba leña y había que comer ranchos en frío; otros días escaseaba el pan, y los elementos sanitarios eran deficientísimos en Annual, y en otras posiciones, nulos.</w:t>
      </w:r>
    </w:p>
    <w:p w14:paraId="1CBEBFDD" w14:textId="77777777" w:rsidR="00DD772D" w:rsidRDefault="00DD772D"/>
    <w:p w14:paraId="2D45B265" w14:textId="099B36AB" w:rsidR="00DD772D" w:rsidRDefault="00DD772D">
      <w:r w:rsidRPr="00DD772D">
        <w:t xml:space="preserve">En resumen, decía el teniente Fernández Tamarit, hemos sido, como de costumbre, víctimas de nuestra falta de preparación, de nuestro afán de improvisarlo todo y no prever nada. Lo que la patria necesita no es un ejército que se sacrifique, sino un Ejército que triunfe, preparándose en los periodos de paz, «porque en la guerra no se aprende nada». Además de las ausencias observadas en la oficialidad y los jefes, que trascendían a las escalas inferiores con la tolerancia de los mismos en lo que se refiere al personal en posiciones, se añade </w:t>
      </w:r>
      <w:r w:rsidRPr="00DD772D">
        <w:lastRenderedPageBreak/>
        <w:t>como nota negativa que, ante la angustiosa demanda de refuerzos, se recurrió al expediente de constituir el 19 de julio de 1921 en los cuerpos de infantería, compañías improvisadas, denominadas «provisionales». Tales compañías debían relevar en sus puestos a las fuerzas móviles, creando incoherentes agrupaciones.</w:t>
      </w:r>
    </w:p>
    <w:p w14:paraId="615884CE" w14:textId="77777777" w:rsidR="00DD772D" w:rsidRDefault="00DD772D"/>
    <w:p w14:paraId="3AFBBE24" w14:textId="77777777" w:rsidR="00DD772D" w:rsidRDefault="00DD772D"/>
    <w:p w14:paraId="12ECFD4E" w14:textId="79D9025A" w:rsidR="00DD772D" w:rsidRDefault="00DD772D">
      <w:r w:rsidRPr="00DD772D">
        <w:t>La operación de Abarrán se venía gestando desde unos días antes, según el teniente coronel del Regimiento África, Fernández Tamarit. La decisión se habría tomado entre Silvestre, el teniente coronel Rafael Capablanca, jefe provisional del EM de Silvestre, y el propio Villar. Silvestre ha telegrafiado a Berenguer para comunicarle que se dispone a ocupar la posición, tal como ha sido autorizado. El plan parece sencillo. Consiste en dejar en Abarrán una pequeña guarnición y que el resto de la columna regrese a Annual con el comandante Villar 21 . Cuando se ocupa Abarrán, en palabras del comandante Emilio Alzugaray, jefe de Ingenieros de la zona, «la posición no cumplía ningún objetivo militar, no podía abastecerse después, ni socorrerse, caso de ser atacada». Pero antes de estas agoreras palabras, el 31 de mayo Villar se traslada desde su base de Buymeyan a Annual, para recoger al grueso de las tropas que formaban su columna</w:t>
      </w:r>
    </w:p>
    <w:p w14:paraId="6B6A230E" w14:textId="77777777" w:rsidR="00DD772D" w:rsidRDefault="00DD772D"/>
    <w:p w14:paraId="7C037DCD" w14:textId="77777777" w:rsidR="00DD772D" w:rsidRDefault="00DD772D"/>
    <w:p w14:paraId="294DFEFA" w14:textId="2B309A34" w:rsidR="00DD772D" w:rsidRDefault="00DD772D">
      <w:r w:rsidRPr="00DD772D">
        <w:t xml:space="preserve">Se ha seguido respecto a este punto el criterio sistemático de hacer preceder el examen de las vicisitudes de cada posición la reseña de su asentamiento, constitución defensiva y estructura, de sus repuestos y recursos ordinarios y el alejamiento, situación y posibilidad práctica de sus aguadas, y podrá comprobarse que desde medio a treinta y ocho kilómetros —zoco el Telatza—se apreciará toda la escala inverosímil de distancias, y aun situadas algunas en la dirección del mismo terreno enemigo y a merced, por tanto, de su arbitrio; con la circunstancia, cual dice el teniente coronel Fernández Tamarit —folio 1.200 —, con respecto al Zoco, que a esta posición se traía agua de los pozos de Ermila, a la expresada distancia, en dos autoaljibes de 2.000 litros, que en verano podían hacer dos </w:t>
      </w:r>
      <w:proofErr w:type="spellStart"/>
      <w:r w:rsidRPr="00DD772D">
        <w:t>vaijes</w:t>
      </w:r>
      <w:proofErr w:type="spellEnd"/>
      <w:r w:rsidRPr="00DD772D">
        <w:t>, pero en invierno sólo hacían uno, y del Zoco había luego que suministrar 21 posiciones dependientes, algunas como Haf y Tasarut Usai, distantes 15 kilómetros de dicha cabecera a las que se enviaba agua cada día en camellos, que solían llegar con las cubas mediadas.</w:t>
      </w:r>
    </w:p>
    <w:p w14:paraId="5818A77E" w14:textId="77777777" w:rsidR="00DD772D" w:rsidRDefault="00DD772D"/>
    <w:p w14:paraId="2522DF04" w14:textId="77777777" w:rsidR="00DD772D" w:rsidRDefault="00DD772D"/>
    <w:p w14:paraId="326D96D2" w14:textId="140E9BD3" w:rsidR="00DD772D" w:rsidRDefault="00DD772D">
      <w:r w:rsidRPr="00DD772D">
        <w:lastRenderedPageBreak/>
        <w:t xml:space="preserve">Dice el teniente coronel de Infantería Fernández Tamarit, al folio 1.205, haciendo un rápido examen de la situación moral y material del territorio, que la pobreza de medios era grande; en Annual, base futura de un avance, no había hospital de campaña, sino dos malas tiendas-tortugas. El día 16 de junio hubo numerosas bajas, y para su transporte tuvo el declarante que prestar todas las camillas del 3° de África y 180 hombres que las llevaran a Izumar; muchos días faltaba leña y había que comer ranchos en frío; otros días escaseaba el pan o las raciones del ganado, y los elementos sanitarios eran deficientísimos en Annual; y en alguna posición que otra, nulos. En resumen: hemos sido, como de costumbre, víctimas de nuestra falta de preparación, de nuestro afán de improvisarlo todo y no prever nada y de nuestro exceso de confianza; y todo ello constituye, a juicio del declarante, una grave irresponsabilidad, que el país tiene derecho a exigir a todos; porque si es cierto que autoridades e incluso ex Ministros han visitado el territorio y encontrado todo perfectamente, y que el Mando ha felicitado por los resultados alcanzados, que después se desplomaron como un castillo de naipes, no lo es menos, por desgracia, que la oficialidad, en su misión de preparar el instrumento que ha de usarse para </w:t>
      </w:r>
      <w:r w:rsidR="007E0F42" w:rsidRPr="00DD772D">
        <w:t>combatir</w:t>
      </w:r>
      <w:r w:rsidRPr="00DD772D">
        <w:t>, ha olvidado que cuando por medios que podrán tener excusa, pero que eran graves, obtuvo ventajas materiales, prometió solemnemente dedicar todos sus esfuerzos, en primer término, a mejorar la condición del soldado y la capacidad del Ejército, y ha dejado incumplida esta promesa, en perjuicio de la Patria, que necesita, no un Ejército que se sacrifique, sino un Ejército que triunfe, preparándose en los periodos de paz, porque en la guerra no se aprende nada</w:t>
      </w:r>
    </w:p>
    <w:p w14:paraId="1B2FD5F4" w14:textId="77777777" w:rsidR="00DD772D" w:rsidRDefault="00DD772D"/>
    <w:p w14:paraId="6253C53F" w14:textId="77777777" w:rsidR="00DD772D" w:rsidRDefault="00DD772D"/>
    <w:p w14:paraId="654D3553" w14:textId="77777777" w:rsidR="00DD772D" w:rsidRDefault="00DD772D"/>
    <w:sectPr w:rsidR="00DD772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72D"/>
    <w:rsid w:val="00336E95"/>
    <w:rsid w:val="004039EC"/>
    <w:rsid w:val="00540570"/>
    <w:rsid w:val="007E0F42"/>
    <w:rsid w:val="00940169"/>
    <w:rsid w:val="00DD772D"/>
    <w:rsid w:val="00FE4DF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BD73C"/>
  <w15:chartTrackingRefBased/>
  <w15:docId w15:val="{E18C3196-C4B4-40E5-B604-C1FBA45A3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D77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D77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D772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D772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D772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D772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D772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D772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D772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D772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D772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D772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D772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D772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D772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D772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D772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D772D"/>
    <w:rPr>
      <w:rFonts w:eastAsiaTheme="majorEastAsia" w:cstheme="majorBidi"/>
      <w:color w:val="272727" w:themeColor="text1" w:themeTint="D8"/>
    </w:rPr>
  </w:style>
  <w:style w:type="paragraph" w:styleId="Ttulo">
    <w:name w:val="Title"/>
    <w:basedOn w:val="Normal"/>
    <w:next w:val="Normal"/>
    <w:link w:val="TtuloCar"/>
    <w:uiPriority w:val="10"/>
    <w:qFormat/>
    <w:rsid w:val="00DD77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D772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D772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D772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D772D"/>
    <w:pPr>
      <w:spacing w:before="160"/>
      <w:jc w:val="center"/>
    </w:pPr>
    <w:rPr>
      <w:i/>
      <w:iCs/>
      <w:color w:val="404040" w:themeColor="text1" w:themeTint="BF"/>
    </w:rPr>
  </w:style>
  <w:style w:type="character" w:customStyle="1" w:styleId="CitaCar">
    <w:name w:val="Cita Car"/>
    <w:basedOn w:val="Fuentedeprrafopredeter"/>
    <w:link w:val="Cita"/>
    <w:uiPriority w:val="29"/>
    <w:rsid w:val="00DD772D"/>
    <w:rPr>
      <w:i/>
      <w:iCs/>
      <w:color w:val="404040" w:themeColor="text1" w:themeTint="BF"/>
    </w:rPr>
  </w:style>
  <w:style w:type="paragraph" w:styleId="Prrafodelista">
    <w:name w:val="List Paragraph"/>
    <w:basedOn w:val="Normal"/>
    <w:uiPriority w:val="34"/>
    <w:qFormat/>
    <w:rsid w:val="00DD772D"/>
    <w:pPr>
      <w:ind w:left="720"/>
      <w:contextualSpacing/>
    </w:pPr>
  </w:style>
  <w:style w:type="character" w:styleId="nfasisintenso">
    <w:name w:val="Intense Emphasis"/>
    <w:basedOn w:val="Fuentedeprrafopredeter"/>
    <w:uiPriority w:val="21"/>
    <w:qFormat/>
    <w:rsid w:val="00DD772D"/>
    <w:rPr>
      <w:i/>
      <w:iCs/>
      <w:color w:val="0F4761" w:themeColor="accent1" w:themeShade="BF"/>
    </w:rPr>
  </w:style>
  <w:style w:type="paragraph" w:styleId="Citadestacada">
    <w:name w:val="Intense Quote"/>
    <w:basedOn w:val="Normal"/>
    <w:next w:val="Normal"/>
    <w:link w:val="CitadestacadaCar"/>
    <w:uiPriority w:val="30"/>
    <w:qFormat/>
    <w:rsid w:val="00DD77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D772D"/>
    <w:rPr>
      <w:i/>
      <w:iCs/>
      <w:color w:val="0F4761" w:themeColor="accent1" w:themeShade="BF"/>
    </w:rPr>
  </w:style>
  <w:style w:type="character" w:styleId="Referenciaintensa">
    <w:name w:val="Intense Reference"/>
    <w:basedOn w:val="Fuentedeprrafopredeter"/>
    <w:uiPriority w:val="32"/>
    <w:qFormat/>
    <w:rsid w:val="00DD772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1069</Words>
  <Characters>5882</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2</cp:revision>
  <dcterms:created xsi:type="dcterms:W3CDTF">2025-12-27T19:09:00Z</dcterms:created>
  <dcterms:modified xsi:type="dcterms:W3CDTF">2026-06-30T17:56:00Z</dcterms:modified>
</cp:coreProperties>
</file>